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b/>
          <w:bCs/>
          <w:color w:val="2087C9"/>
          <w:sz w:val="22"/>
          <w:szCs w:val="22"/>
        </w:rPr>
        <w:t xml:space="preserve">FREE TEMPLATE</w:t>
      </w:r>
    </w:p>
    <w:p>
      <w:pPr>
        <w:spacing w:after="0" w:before="60"/>
      </w:pPr>
      <w:r>
        <w:rPr>
          <w:b/>
          <w:bCs/>
          <w:color w:val="1A2340"/>
          <w:sz w:val="56"/>
          <w:szCs w:val="56"/>
        </w:rPr>
        <w:t xml:space="preserve">Shareholder Agreement</w:t>
      </w:r>
    </w:p>
    <w:p>
      <w:pPr>
        <w:spacing w:after="0" w:before="40"/>
      </w:pPr>
      <w:r>
        <w:rPr>
          <w:color w:val="4A5568"/>
          <w:sz w:val="26"/>
          <w:szCs w:val="26"/>
        </w:rPr>
        <w:t xml:space="preserve">Template for Canadian Small Business Corporations</w:t>
      </w:r>
    </w:p>
    <w:p>
      <w:pPr>
        <w:pBdr>
          <w:bottom w:val="single" w:color="F6AD1A" w:sz="18" w:space="6"/>
        </w:pBdr>
        <w:spacing w:after="0" w:before="240"/>
      </w:pPr>
      <w:r>
        <w:t xml:space="preserve"/>
      </w:r>
    </w:p>
    <w:p>
      <w:pPr>
        <w:spacing w:after="240"/>
      </w:pPr>
      <w:r>
        <w:t xml:space="preserve"/>
      </w:r>
    </w:p>
    <w:p>
      <w:pPr>
        <w:spacing w:after="120"/>
      </w:pPr>
      <w:r>
        <w:rPr>
          <w:color w:val="4A5568"/>
        </w:rPr>
        <w:t xml:space="preserve">This template is provided free by Gondaliya CPA Professional Corporation, a licensed Ontario CPA firm serving incorporated businesses across Canada. It gives you a professionally structured starting point for the conversation every set of business partners should have, before a dispute forces it.</w:t>
      </w:r>
    </w:p>
    <w:p>
      <w:pPr>
        <w:spacing w:after="120"/>
      </w:pPr>
      <w:r>
        <w:t xml:space="preserve"/>
      </w:r>
    </w:p>
    <w:p>
      <w:pPr>
        <w:spacing w:after="120"/>
      </w:pPr>
      <w:r>
        <w:rPr>
          <w:color w:val="4A5568"/>
        </w:rPr>
        <w:t xml:space="preserve">Fill in the highlighted placeholders, delete the clauses that do not apply, and have the completed draft reviewed by a lawyer before anyone signs.</w:t>
      </w:r>
    </w:p>
    <w:p>
      <w:pPr>
        <w:spacing w:after="3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6AD1A" w:sz="4"/>
              <w:left w:val="single" w:color="F6AD1A" w:sz="24"/>
              <w:bottom w:val="single" w:color="F6AD1A" w:sz="4"/>
              <w:right w:val="single" w:color="F6AD1A" w:sz="4"/>
            </w:tcBorders>
            <w:shd w:fill="FFFBF0" w:val="clear"/>
            <w:tcMar>
              <w:top w:type="dxa" w:w="140"/>
              <w:left w:type="dxa" w:w="180"/>
              <w:bottom w:type="dxa" w:w="140"/>
              <w:right w:type="dxa" w:w="180"/>
            </w:tcMar>
          </w:tcPr>
          <w:p>
            <w:pPr>
              <w:spacing w:after="80"/>
            </w:pPr>
            <w:r>
              <w:rPr>
                <w:b/>
                <w:bCs/>
                <w:color w:val="7C5800"/>
                <w:sz w:val="22"/>
                <w:szCs w:val="22"/>
              </w:rPr>
              <w:t xml:space="preserve">Important — please read first</w:t>
            </w:r>
          </w:p>
          <w:p>
            <w:pPr>
              <w:spacing w:after="80"/>
            </w:pPr>
            <w:r>
              <w:rPr>
                <w:color w:val="7C5800"/>
                <w:sz w:val="19"/>
                <w:szCs w:val="19"/>
              </w:rPr>
              <w:t xml:space="preserve">This is a general template for educational purposes, not legal advice, and it is not a substitute for a lawyer. A shareholder agreement is a binding contract, and the right terms depend on your specific share structure, ownership, family situation and goals. Gondaliya CPA does not provide legal advice. Before you sign, have the completed agreement reviewed by a qualified lawyer, and speak with your CPA about the tax consequences of the share structure, valuation and buy-sell terms.</w:t>
            </w:r>
          </w:p>
          <w:p>
            <w:pPr>
              <w:spacing w:after="0"/>
            </w:pPr>
            <w:r>
              <w:rPr>
                <w:i/>
                <w:iCs/>
                <w:color w:val="7C5800"/>
                <w:sz w:val="19"/>
                <w:szCs w:val="19"/>
              </w:rPr>
              <w:t xml:space="preserve">Using this template does not create a solicitor-client or any professional relationship, and Gondaliya CPA accepts no liability for its use.</w:t>
            </w:r>
          </w:p>
        </w:tc>
      </w:tr>
    </w:tbl>
    <w:p>
      <w:r>
        <w:br w:type="page"/>
      </w:r>
    </w:p>
    <w:p>
      <w:pPr>
        <w:pStyle w:val="Heading1"/>
      </w:pPr>
      <w:r>
        <w:t xml:space="preserve">How to Use This Template</w:t>
      </w:r>
    </w:p>
    <w:p>
      <w:pPr>
        <w:spacing w:after="120"/>
      </w:pPr>
      <w:r>
        <w:t xml:space="preserve">Work through the document in three passes:</w:t>
      </w:r>
    </w:p>
    <w:p>
      <w:pPr>
        <w:pStyle w:val="ListParagraph"/>
        <w:numPr>
          <w:ilvl w:val="0"/>
          <w:numId w:val="2"/>
        </w:numPr>
        <w:spacing w:after="80"/>
      </w:pPr>
      <w:r>
        <w:rPr>
          <w:b/>
          <w:bCs/>
        </w:rPr>
        <w:t xml:space="preserve">Fill in the blanks. </w:t>
      </w:r>
      <w:r>
        <w:t xml:space="preserve">Every underlined field and every item in square brackets is a placeholder for your information.</w:t>
      </w:r>
    </w:p>
    <w:p>
      <w:pPr>
        <w:pStyle w:val="ListParagraph"/>
        <w:numPr>
          <w:ilvl w:val="0"/>
          <w:numId w:val="2"/>
        </w:numPr>
        <w:spacing w:after="80"/>
      </w:pPr>
      <w:r>
        <w:rPr>
          <w:b/>
          <w:bCs/>
        </w:rPr>
        <w:t xml:space="preserve">Read the plain-language notes. </w:t>
      </w:r>
      <w:r>
        <w:t xml:space="preserve">The blue notes explain what each clause does and the decisions you need to make. They are guidance only and should be deleted from your final document.</w:t>
      </w:r>
    </w:p>
    <w:p>
      <w:pPr>
        <w:pStyle w:val="ListParagraph"/>
        <w:numPr>
          <w:ilvl w:val="0"/>
          <w:numId w:val="2"/>
        </w:numPr>
        <w:spacing w:after="120"/>
      </w:pPr>
      <w:r>
        <w:rPr>
          <w:b/>
          <w:bCs/>
        </w:rPr>
        <w:t xml:space="preserve">Have it reviewed. </w:t>
      </w:r>
      <w:r>
        <w:t xml:space="preserve">Send the completed draft to a lawyer for review, and to your CPA for the tax and valuation implications, before signing.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Shareholder agreements are where the share structure decided at incorporation really matters. If yours was set up without planning, ask your CPA whether it supports the buy-sell, transfer and dividend terms you want here. Fixing a share structure later can trigger tax.</w:t>
            </w:r>
          </w:p>
        </w:tc>
      </w:tr>
    </w:tbl>
    <w:p>
      <w:r>
        <w:br w:type="page"/>
      </w:r>
    </w:p>
    <w:p>
      <w:pPr>
        <w:spacing w:after="60"/>
        <w:jc w:val="center"/>
      </w:pPr>
      <w:r>
        <w:rPr>
          <w:b/>
          <w:bCs/>
          <w:color w:val="1A2340"/>
          <w:sz w:val="34"/>
          <w:szCs w:val="34"/>
        </w:rPr>
        <w:t xml:space="preserve">SHAREHOLDER AGREEMENT</w:t>
      </w:r>
    </w:p>
    <w:p>
      <w:pPr>
        <w:spacing w:after="200"/>
        <w:jc w:val="center"/>
      </w:pPr>
      <w:r>
        <w:rPr>
          <w:color w:val="4A5568"/>
          <w:sz w:val="22"/>
          <w:szCs w:val="22"/>
        </w:rPr>
        <w:t xml:space="preserve">of [CORPORATION LEGAL NAME]</w:t>
      </w:r>
    </w:p>
    <w:p>
      <w:pPr>
        <w:spacing w:after="120"/>
      </w:pPr>
      <w:r>
        <w:t xml:space="preserve">THIS AGREEMENT is made as of the ____ day of ______________, 20____.</w:t>
      </w:r>
    </w:p>
    <w:p>
      <w:pPr>
        <w:spacing w:after="120"/>
      </w:pPr>
      <w:r>
        <w:t xml:space="preserve"/>
      </w:r>
    </w:p>
    <w:p>
      <w:pPr>
        <w:spacing w:after="120"/>
      </w:pPr>
      <w:r>
        <w:rPr>
          <w:b/>
          <w:bCs/>
        </w:rPr>
        <w:t xml:space="preserve">AMONG:</w:t>
      </w:r>
    </w:p>
    <w:p>
      <w:pPr>
        <w:spacing w:after="80"/>
      </w:pPr>
      <w:r>
        <w:rPr>
          <w:b/>
          <w:bCs/>
          <w:color w:val="1A2340"/>
        </w:rPr>
        <w:t xml:space="preserve">Shareholder 1 (full legal name and address):  </w:t>
      </w:r>
      <w:r>
        <w:rPr>
          <w:color w:val="4A5568"/>
        </w:rPr>
        <w:t xml:space="preserve">______________________________________________</w:t>
      </w:r>
    </w:p>
    <w:p>
      <w:pPr>
        <w:spacing w:after="80"/>
      </w:pPr>
      <w:r>
        <w:rPr>
          <w:b/>
          <w:bCs/>
          <w:color w:val="1A2340"/>
        </w:rPr>
        <w:t xml:space="preserve">Shareholder 2 (full legal name and address):  </w:t>
      </w:r>
      <w:r>
        <w:rPr>
          <w:color w:val="4A5568"/>
        </w:rPr>
        <w:t xml:space="preserve">______________________________________________</w:t>
      </w:r>
    </w:p>
    <w:p>
      <w:pPr>
        <w:spacing w:after="80"/>
      </w:pPr>
      <w:r>
        <w:rPr>
          <w:b/>
          <w:bCs/>
          <w:color w:val="1A2340"/>
        </w:rPr>
        <w:t xml:space="preserve">Shareholder 3 (full legal name and address):  </w:t>
      </w:r>
      <w:r>
        <w:rPr>
          <w:color w:val="4A5568"/>
        </w:rPr>
        <w:t xml:space="preserve">______________________________________________</w:t>
      </w:r>
    </w:p>
    <w:p>
      <w:pPr>
        <w:spacing w:after="120"/>
      </w:pPr>
      <w:r>
        <w:rPr>
          <w:i/>
          <w:iCs/>
          <w:color w:val="4A5568"/>
        </w:rPr>
        <w:t xml:space="preserve">(each a “Shareholder”, and collectively the “Shareholders”)</w:t>
      </w:r>
    </w:p>
    <w:p>
      <w:pPr>
        <w:spacing w:after="100"/>
      </w:pPr>
      <w:r>
        <w:t xml:space="preserve"/>
      </w:r>
    </w:p>
    <w:p>
      <w:pPr>
        <w:spacing w:after="120"/>
      </w:pPr>
      <w:r>
        <w:rPr>
          <w:b/>
          <w:bCs/>
        </w:rPr>
        <w:t xml:space="preserve">AND:</w:t>
      </w:r>
    </w:p>
    <w:p>
      <w:pPr>
        <w:spacing w:after="80"/>
      </w:pPr>
      <w:r>
        <w:rPr>
          <w:b/>
          <w:bCs/>
          <w:color w:val="1A2340"/>
        </w:rPr>
        <w:t xml:space="preserve">[CORPORATION LEGAL NAME] (the “Corporation”):  </w:t>
      </w:r>
      <w:r>
        <w:rPr>
          <w:color w:val="4A5568"/>
        </w:rPr>
        <w:t xml:space="preserve">______________________________________________</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List every shareholder. The corporation itself is usually a party so it is bound by the buy-sell and transfer mechanics. If any shareholder is itself a holding company or a family trust, name that entity here, not the individual behind it.</w:t>
            </w:r>
          </w:p>
        </w:tc>
      </w:tr>
    </w:tbl>
    <w:p>
      <w:pPr>
        <w:pStyle w:val="Heading1"/>
      </w:pPr>
      <w:r>
        <w:t xml:space="preserve">Recitals</w:t>
      </w:r>
    </w:p>
    <w:p>
      <w:pPr>
        <w:spacing w:after="120"/>
      </w:pPr>
      <w:r>
        <w:t xml:space="preserve">A.  The Corporation is incorporated under the laws of [JURISDICTION – e.g. the Province of Ontario / Canada] and is authorized to issue the shares described in this Agreement.</w:t>
      </w:r>
    </w:p>
    <w:p>
      <w:pPr>
        <w:spacing w:after="120"/>
      </w:pPr>
      <w:r>
        <w:t xml:space="preserve">B.  The Shareholders are the registered and beneficial owners of the issued shares of the Corporation in the proportions set out in Schedule “A”.</w:t>
      </w:r>
    </w:p>
    <w:p>
      <w:pPr>
        <w:spacing w:after="120"/>
      </w:pPr>
      <w:r>
        <w:t xml:space="preserve">C.  The Shareholders wish to record their agreement on the management of the Corporation, the transfer of shares, and their respective rights and obligations.</w:t>
      </w:r>
    </w:p>
    <w:p>
      <w:pPr>
        <w:spacing w:after="80"/>
      </w:pPr>
      <w:r>
        <w:t xml:space="preserve"/>
      </w:r>
    </w:p>
    <w:p>
      <w:pPr>
        <w:spacing w:after="120"/>
      </w:pPr>
      <w:r>
        <w:rPr>
          <w:b/>
          <w:bCs/>
        </w:rPr>
        <w:t xml:space="preserve">NOW THEREFORE the parties agree as follows:</w:t>
      </w:r>
    </w:p>
    <w:p>
      <w:pPr>
        <w:pStyle w:val="Heading1"/>
      </w:pPr>
      <w:r>
        <w:t xml:space="preserve">1.  Share Ownership and Capital</w:t>
      </w:r>
    </w:p>
    <w:p>
      <w:pPr>
        <w:pStyle w:val="ListParagraph"/>
        <w:numPr>
          <w:ilvl w:val="0"/>
          <w:numId w:val="3"/>
        </w:numPr>
        <w:spacing w:after="120"/>
      </w:pPr>
      <w:r>
        <w:t xml:space="preserve">Each Shareholder owns the number and class of shares set out in Schedule “A”, which the parties confirm is accurate as of the date of this Agreement.</w:t>
      </w:r>
    </w:p>
    <w:p>
      <w:pPr>
        <w:pStyle w:val="ListParagraph"/>
        <w:numPr>
          <w:ilvl w:val="0"/>
          <w:numId w:val="3"/>
        </w:numPr>
        <w:spacing w:after="120"/>
      </w:pPr>
      <w:r>
        <w:t xml:space="preserve">No new shares will be issued, and no existing shares will be transferred, except in accordance with this Agreement.</w:t>
      </w:r>
    </w:p>
    <w:p>
      <w:pPr>
        <w:pStyle w:val="ListParagraph"/>
        <w:numPr>
          <w:ilvl w:val="0"/>
          <w:numId w:val="3"/>
        </w:numPr>
        <w:spacing w:after="120"/>
      </w:pPr>
      <w:r>
        <w:t xml:space="preserve">Any future issuance of shares requires the approval set out in Section 3 and is subject to the pre-emptive (first-offer) rights in Section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Schedule A is the snapshot of who owns what. Keep it updated every time shares change hands. The share classes here should match the structure in your minute book and articles; if they do not, fix that first.</w:t>
            </w:r>
          </w:p>
        </w:tc>
      </w:tr>
    </w:tbl>
    <w:p>
      <w:pPr>
        <w:pStyle w:val="Heading1"/>
      </w:pPr>
      <w:r>
        <w:t xml:space="preserve">2.  Business of the Corporation</w:t>
      </w:r>
    </w:p>
    <w:p>
      <w:pPr>
        <w:pStyle w:val="ListParagraph"/>
        <w:numPr>
          <w:ilvl w:val="0"/>
          <w:numId w:val="3"/>
        </w:numPr>
        <w:spacing w:after="120"/>
      </w:pPr>
      <w:r>
        <w:t xml:space="preserve">The business of the Corporation is: [DESCRIBE THE BUSINESS].</w:t>
      </w:r>
    </w:p>
    <w:p>
      <w:pPr>
        <w:pStyle w:val="ListParagraph"/>
        <w:numPr>
          <w:ilvl w:val="0"/>
          <w:numId w:val="3"/>
        </w:numPr>
        <w:spacing w:after="120"/>
      </w:pPr>
      <w:r>
        <w:t xml:space="preserve">The Shareholders will act in good faith and in the best interests of the Corporation and will not, without consent, carry on a competing business as described in Section 11.</w:t>
      </w:r>
    </w:p>
    <w:p>
      <w:pPr>
        <w:pStyle w:val="Heading1"/>
      </w:pPr>
      <w:r>
        <w:t xml:space="preserve">3.  Management and Decision-Making</w:t>
      </w:r>
    </w:p>
    <w:p>
      <w:pPr>
        <w:pStyle w:val="ListParagraph"/>
        <w:numPr>
          <w:ilvl w:val="0"/>
          <w:numId w:val="3"/>
        </w:numPr>
        <w:spacing w:after="120"/>
      </w:pPr>
      <w:r>
        <w:t xml:space="preserve">Directors. The board will consist of [NUMBER] director(s). Each Shareholder holding at least [PERCENTAGE]% of the voting shares is entitled to nominate [NUMBER] director(s).</w:t>
      </w:r>
    </w:p>
    <w:p>
      <w:pPr>
        <w:pStyle w:val="ListParagraph"/>
        <w:numPr>
          <w:ilvl w:val="0"/>
          <w:numId w:val="3"/>
        </w:numPr>
        <w:spacing w:after="120"/>
      </w:pPr>
      <w:r>
        <w:t xml:space="preserve">Officers. The officers of the Corporation will be appointed by the board and will include, at a minimum, a [President / CEO] and a [Secretary].</w:t>
      </w:r>
    </w:p>
    <w:p>
      <w:pPr>
        <w:pStyle w:val="ListParagraph"/>
        <w:numPr>
          <w:ilvl w:val="0"/>
          <w:numId w:val="3"/>
        </w:numPr>
        <w:spacing w:after="120"/>
      </w:pPr>
      <w:r>
        <w:t xml:space="preserve">Ordinary decisions. Day-to-day decisions are made by the officers and by simple majority of the board.</w:t>
      </w:r>
    </w:p>
    <w:p>
      <w:pPr>
        <w:pStyle w:val="ListParagraph"/>
        <w:numPr>
          <w:ilvl w:val="0"/>
          <w:numId w:val="3"/>
        </w:numPr>
        <w:spacing w:after="120"/>
      </w:pPr>
      <w:r>
        <w:t xml:space="preserve">Major decisions. The following “Major Decisions” require the approval of Shareholders holding at least [PERCENTAGE – e.g. 75]% of the voting shares (or unanimous approval, if selected):</w:t>
      </w:r>
    </w:p>
    <w:p>
      <w:pPr>
        <w:pStyle w:val="ListParagraph"/>
        <w:numPr>
          <w:ilvl w:val="1"/>
          <w:numId w:val="3"/>
        </w:numPr>
        <w:spacing w:after="100"/>
      </w:pPr>
      <w:r>
        <w:t xml:space="preserve">issuing, redeeming or transferring shares, or admitting a new shareholder;</w:t>
      </w:r>
    </w:p>
    <w:p>
      <w:pPr>
        <w:pStyle w:val="ListParagraph"/>
        <w:numPr>
          <w:ilvl w:val="1"/>
          <w:numId w:val="3"/>
        </w:numPr>
        <w:spacing w:after="100"/>
      </w:pPr>
      <w:r>
        <w:t xml:space="preserve">borrowing above $[AMOUNT], or granting security over the Corporation’s assets;</w:t>
      </w:r>
    </w:p>
    <w:p>
      <w:pPr>
        <w:pStyle w:val="ListParagraph"/>
        <w:numPr>
          <w:ilvl w:val="1"/>
          <w:numId w:val="3"/>
        </w:numPr>
        <w:spacing w:after="100"/>
      </w:pPr>
      <w:r>
        <w:t xml:space="preserve">selling all or substantially all of the Corporation’s assets, or merging or winding up;</w:t>
      </w:r>
    </w:p>
    <w:p>
      <w:pPr>
        <w:pStyle w:val="ListParagraph"/>
        <w:numPr>
          <w:ilvl w:val="1"/>
          <w:numId w:val="3"/>
        </w:numPr>
        <w:spacing w:after="100"/>
      </w:pPr>
      <w:r>
        <w:t xml:space="preserve">approving or changing the annual budget, or any single expenditure above $[AMOUNT];</w:t>
      </w:r>
    </w:p>
    <w:p>
      <w:pPr>
        <w:pStyle w:val="ListParagraph"/>
        <w:numPr>
          <w:ilvl w:val="1"/>
          <w:numId w:val="3"/>
        </w:numPr>
        <w:spacing w:after="100"/>
      </w:pPr>
      <w:r>
        <w:t xml:space="preserve">declaring dividends or changing the distribution policy in Section 7;</w:t>
      </w:r>
    </w:p>
    <w:p>
      <w:pPr>
        <w:pStyle w:val="ListParagraph"/>
        <w:numPr>
          <w:ilvl w:val="1"/>
          <w:numId w:val="3"/>
        </w:numPr>
        <w:spacing w:after="100"/>
      </w:pPr>
      <w:r>
        <w:t xml:space="preserve">entering into any contract with a Shareholder or a related party;</w:t>
      </w:r>
    </w:p>
    <w:p>
      <w:pPr>
        <w:pStyle w:val="ListParagraph"/>
        <w:numPr>
          <w:ilvl w:val="1"/>
          <w:numId w:val="3"/>
        </w:numPr>
        <w:spacing w:after="100"/>
      </w:pPr>
      <w:r>
        <w:t xml:space="preserve">changing the nature of the business, or the compensation of any Shareholder-employee.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Major Decisions are the heart of the agreement. They are the protections that stop a majority owner from acting alone and stop a minority from being steamrolled. Decide the approval threshold deliberately: a 75% bar protects a meaningful minority; unanimous gives every shareholder a veto, which is strong but can cause deadlock (see Section 9).</w:t>
            </w:r>
          </w:p>
        </w:tc>
      </w:tr>
    </w:tbl>
    <w:p>
      <w:pPr>
        <w:pStyle w:val="Heading1"/>
      </w:pPr>
      <w:r>
        <w:t xml:space="preserve">4.  Restrictions on Transfer of Shares</w:t>
      </w:r>
    </w:p>
    <w:p>
      <w:pPr>
        <w:pStyle w:val="ListParagraph"/>
        <w:numPr>
          <w:ilvl w:val="0"/>
          <w:numId w:val="3"/>
        </w:numPr>
        <w:spacing w:after="120"/>
      </w:pPr>
      <w:r>
        <w:t xml:space="preserve">No Shareholder may sell, transfer, pledge or otherwise dispose of any shares except in accordance with this Agreement. Any transfer not permitted by this Agreement is void.</w:t>
      </w:r>
    </w:p>
    <w:p>
      <w:pPr>
        <w:pStyle w:val="ListParagraph"/>
        <w:numPr>
          <w:ilvl w:val="0"/>
          <w:numId w:val="3"/>
        </w:numPr>
        <w:spacing w:after="120"/>
      </w:pPr>
      <w:r>
        <w:t xml:space="preserve">A Shareholder may transfer shares to a Permitted Transferee (a wholly-owned holding company or a family trust controlled by that Shareholder) provided the transferee first signs this Agreement and the underlying Shareholder remains responsible for the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Transfer restrictions keep the ownership group closed so you do not end up in business with a stranger, an ex-spouse, or a competitor. Permitted Transferee carve-outs let owners move shares into a holdco or trust for tax planning, talk to your CPA before relying on them.</w:t>
            </w:r>
          </w:p>
        </w:tc>
      </w:tr>
    </w:tbl>
    <w:p>
      <w:pPr>
        <w:pStyle w:val="Heading1"/>
      </w:pPr>
      <w:r>
        <w:t xml:space="preserve">5.  Right of First Refusal</w:t>
      </w:r>
    </w:p>
    <w:p>
      <w:pPr>
        <w:pStyle w:val="ListParagraph"/>
        <w:numPr>
          <w:ilvl w:val="0"/>
          <w:numId w:val="3"/>
        </w:numPr>
        <w:spacing w:after="120"/>
      </w:pPr>
      <w:r>
        <w:t xml:space="preserve">If a Shareholder (the “Selling Shareholder”) receives a bona fide offer to buy some or all of its shares and wishes to accept it, the Selling Shareholder must first offer those shares to the other Shareholders on the same terms.</w:t>
      </w:r>
    </w:p>
    <w:p>
      <w:pPr>
        <w:pStyle w:val="ListParagraph"/>
        <w:numPr>
          <w:ilvl w:val="0"/>
          <w:numId w:val="3"/>
        </w:numPr>
        <w:spacing w:after="120"/>
      </w:pPr>
      <w:r>
        <w:t xml:space="preserve">The other Shareholders have [NUMBER – e.g. 30] days to accept, pro rata to their existing holdings. Shares not taken up may be offered to the remaining Shareholders before any sale to the outside party.</w:t>
      </w:r>
    </w:p>
    <w:p>
      <w:pPr>
        <w:pStyle w:val="ListParagraph"/>
        <w:numPr>
          <w:ilvl w:val="0"/>
          <w:numId w:val="3"/>
        </w:numPr>
        <w:spacing w:after="120"/>
      </w:pPr>
      <w:r>
        <w:t xml:space="preserve">If the other Shareholders do not buy all the offered shares within the notice period, the Selling Shareholder may sell them to the outside party, on terms no more favourable, within [NUMBER – e.g. 60] days, after which the right of first refusal applies again.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This gives existing owners the first chance to buy before shares can go to an outsider. It is the everyday gatekeeper of the ownership group. Match the timelines to how fast your business actually moves.</w:t>
            </w:r>
          </w:p>
        </w:tc>
      </w:tr>
    </w:tbl>
    <w:p>
      <w:pPr>
        <w:pStyle w:val="Heading1"/>
      </w:pPr>
      <w:r>
        <w:t xml:space="preserve">6.  Buy-Sell on Trigger Events (Departure, Death, Disability, Default)</w:t>
      </w:r>
    </w:p>
    <w:p>
      <w:pPr>
        <w:pStyle w:val="ListParagraph"/>
        <w:numPr>
          <w:ilvl w:val="0"/>
          <w:numId w:val="3"/>
        </w:numPr>
        <w:spacing w:after="120"/>
      </w:pPr>
      <w:r>
        <w:t xml:space="preserve">On the occurrence of any of the following “Trigger Events” affecting a Shareholder, that Shareholder (or their estate) will sell, and the remaining Shareholders (or the Corporation) will buy, that Shareholder’s shares at the price determined under Section 8:</w:t>
      </w:r>
    </w:p>
    <w:p>
      <w:pPr>
        <w:pStyle w:val="ListParagraph"/>
        <w:numPr>
          <w:ilvl w:val="1"/>
          <w:numId w:val="3"/>
        </w:numPr>
        <w:spacing w:after="100"/>
      </w:pPr>
      <w:r>
        <w:t xml:space="preserve">death;</w:t>
      </w:r>
    </w:p>
    <w:p>
      <w:pPr>
        <w:pStyle w:val="ListParagraph"/>
        <w:numPr>
          <w:ilvl w:val="1"/>
          <w:numId w:val="3"/>
        </w:numPr>
        <w:spacing w:after="100"/>
      </w:pPr>
      <w:r>
        <w:t xml:space="preserve">permanent disability that prevents active involvement for more than [NUMBER] consecutive months;</w:t>
      </w:r>
    </w:p>
    <w:p>
      <w:pPr>
        <w:pStyle w:val="ListParagraph"/>
        <w:numPr>
          <w:ilvl w:val="1"/>
          <w:numId w:val="3"/>
        </w:numPr>
        <w:spacing w:after="100"/>
      </w:pPr>
      <w:r>
        <w:t xml:space="preserve">voluntary departure or retirement from active involvement;</w:t>
      </w:r>
    </w:p>
    <w:p>
      <w:pPr>
        <w:pStyle w:val="ListParagraph"/>
        <w:numPr>
          <w:ilvl w:val="1"/>
          <w:numId w:val="3"/>
        </w:numPr>
        <w:spacing w:after="100"/>
      </w:pPr>
      <w:r>
        <w:t xml:space="preserve">termination of a Shareholder-employee’s employment;</w:t>
      </w:r>
    </w:p>
    <w:p>
      <w:pPr>
        <w:pStyle w:val="ListParagraph"/>
        <w:numPr>
          <w:ilvl w:val="1"/>
          <w:numId w:val="3"/>
        </w:numPr>
        <w:spacing w:after="100"/>
      </w:pPr>
      <w:r>
        <w:t xml:space="preserve">bankruptcy or insolvency of the Shareholder;</w:t>
      </w:r>
    </w:p>
    <w:p>
      <w:pPr>
        <w:pStyle w:val="ListParagraph"/>
        <w:numPr>
          <w:ilvl w:val="1"/>
          <w:numId w:val="3"/>
        </w:numPr>
        <w:spacing w:after="100"/>
      </w:pPr>
      <w:r>
        <w:t xml:space="preserve">a material, uncured breach of this Agreement (the “Default”).</w:t>
      </w:r>
    </w:p>
    <w:p>
      <w:pPr>
        <w:pStyle w:val="ListParagraph"/>
        <w:numPr>
          <w:ilvl w:val="0"/>
          <w:numId w:val="3"/>
        </w:numPr>
        <w:spacing w:after="120"/>
      </w:pPr>
      <w:r>
        <w:t xml:space="preserve">Funding. The parties will consider funding the purchase on death or disability through life and disability insurance held by the Corporation or the Shareholders, with proceeds applied to the purchase price.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This is the clause that protects families and partners when something goes wrong. Without it, the death of a co-owner can leave you in business with their heirs. Decide whether the buyer is the remaining shareholders, the corporation, or either. The insurance-funding mechanics and whether the corporation or the shareholders own the policies have significant tax consequences, confirm them with your CPA before finalizing.</w:t>
            </w:r>
          </w:p>
        </w:tc>
      </w:tr>
    </w:tbl>
    <w:p>
      <w:pPr>
        <w:pStyle w:val="Heading1"/>
      </w:pPr>
      <w:r>
        <w:t xml:space="preserve">7.  Dividends and Distribution Policy</w:t>
      </w:r>
    </w:p>
    <w:p>
      <w:pPr>
        <w:pStyle w:val="ListParagraph"/>
        <w:numPr>
          <w:ilvl w:val="0"/>
          <w:numId w:val="3"/>
        </w:numPr>
        <w:spacing w:after="120"/>
      </w:pPr>
      <w:r>
        <w:t xml:space="preserve">The Corporation will declare and pay dividends as the board determines, subject to the Major Decision approval in Section 3, having regard to working-capital needs, debt obligations and reasonable reserves.</w:t>
      </w:r>
    </w:p>
    <w:p>
      <w:pPr>
        <w:pStyle w:val="ListParagraph"/>
        <w:numPr>
          <w:ilvl w:val="0"/>
          <w:numId w:val="3"/>
        </w:numPr>
        <w:spacing w:after="120"/>
      </w:pPr>
      <w:r>
        <w:t xml:space="preserve">Unless otherwise agreed, dividends on shares of the same class are paid pro rata to holdings of that class.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How and when profits are paid out is a frequent source of friction. The use of discretionary dividend shares for income splitting is a CPA-driven decision and is subject to specific tax rules, do not set a dividend policy here without your accountant.</w:t>
            </w:r>
          </w:p>
        </w:tc>
      </w:tr>
    </w:tbl>
    <w:p>
      <w:pPr>
        <w:pStyle w:val="Heading1"/>
      </w:pPr>
      <w:r>
        <w:t xml:space="preserve">8.  Valuation of Shares</w:t>
      </w:r>
    </w:p>
    <w:p>
      <w:pPr>
        <w:pStyle w:val="ListParagraph"/>
        <w:numPr>
          <w:ilvl w:val="0"/>
          <w:numId w:val="3"/>
        </w:numPr>
        <w:spacing w:after="120"/>
      </w:pPr>
      <w:r>
        <w:t xml:space="preserve">The price for shares bought or sold under this Agreement is determined as follows:</w:t>
      </w:r>
    </w:p>
    <w:p>
      <w:pPr>
        <w:pStyle w:val="ListParagraph"/>
        <w:numPr>
          <w:ilvl w:val="1"/>
          <w:numId w:val="3"/>
        </w:numPr>
        <w:spacing w:after="100"/>
      </w:pPr>
      <w:r>
        <w:t xml:space="preserve">Agreed value. The Shareholders may set an agreed value each year and record it in Schedule “B”. The most recent agreed value, if within [NUMBER] months, governs.</w:t>
      </w:r>
    </w:p>
    <w:p>
      <w:pPr>
        <w:pStyle w:val="ListParagraph"/>
        <w:numPr>
          <w:ilvl w:val="1"/>
          <w:numId w:val="3"/>
        </w:numPr>
        <w:spacing w:after="100"/>
      </w:pPr>
      <w:r>
        <w:t xml:space="preserve">Independent valuation. If there is no current agreed value, the price is the fair market value determined by an independent business valuator (a CBV) appointed by the parties, whose determination is final.</w:t>
      </w:r>
    </w:p>
    <w:p>
      <w:pPr>
        <w:pStyle w:val="ListParagraph"/>
        <w:numPr>
          <w:ilvl w:val="1"/>
          <w:numId w:val="3"/>
        </w:numPr>
        <w:spacing w:after="100"/>
      </w:pPr>
      <w:r>
        <w:t xml:space="preserve">Formula (optional). Alternatively, the parties may agree on a formula (for example, a multiple of normalized earnings) recorded in Schedule “B”.</w:t>
      </w:r>
    </w:p>
    <w:p>
      <w:pPr>
        <w:pStyle w:val="ListParagraph"/>
        <w:numPr>
          <w:ilvl w:val="0"/>
          <w:numId w:val="3"/>
        </w:numPr>
        <w:spacing w:after="120"/>
      </w:pPr>
      <w:r>
        <w:t xml:space="preserve">Payment terms. The purchase price is payable [in full on closing / over [NUMBER] months with interest at [RATE]%], as the parties select.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How shares are valued is the single most fought-over term when an owner leaves. Agreeing a method now, while everyone is on good terms, prevents a dispute later. A Chartered Business Valuator gives a defensible number. Ask your CPA which method fits your business and the tax outcome of each.</w:t>
            </w:r>
          </w:p>
        </w:tc>
      </w:tr>
    </w:tbl>
    <w:p>
      <w:pPr>
        <w:pStyle w:val="Heading1"/>
      </w:pPr>
      <w:r>
        <w:t xml:space="preserve">9.  Deadlock Resolution</w:t>
      </w:r>
    </w:p>
    <w:p>
      <w:pPr>
        <w:pStyle w:val="ListParagraph"/>
        <w:numPr>
          <w:ilvl w:val="0"/>
          <w:numId w:val="3"/>
        </w:numPr>
        <w:spacing w:after="120"/>
      </w:pPr>
      <w:r>
        <w:t xml:space="preserve">If the Shareholders cannot agree on a Major Decision after good-faith discussion over [NUMBER] days, the matter is referred first to mediation, and if unresolved, to one of the following mechanisms selected by the parties:</w:t>
      </w:r>
    </w:p>
    <w:p>
      <w:pPr>
        <w:pStyle w:val="ListParagraph"/>
        <w:numPr>
          <w:ilvl w:val="1"/>
          <w:numId w:val="3"/>
        </w:numPr>
        <w:spacing w:after="100"/>
      </w:pPr>
      <w:r>
        <w:t xml:space="preserve">Shotgun (buy-sell): one Shareholder offers to buy the other’s shares at a stated price; the recipient must either sell at that price or buy the offeror’s shares at the same price;</w:t>
      </w:r>
    </w:p>
    <w:p>
      <w:pPr>
        <w:pStyle w:val="ListParagraph"/>
        <w:numPr>
          <w:ilvl w:val="1"/>
          <w:numId w:val="3"/>
        </w:numPr>
        <w:spacing w:after="100"/>
      </w:pPr>
      <w:r>
        <w:t xml:space="preserve">Mandatory sale of the business to a third party; or</w:t>
      </w:r>
    </w:p>
    <w:p>
      <w:pPr>
        <w:pStyle w:val="ListParagraph"/>
        <w:numPr>
          <w:ilvl w:val="1"/>
          <w:numId w:val="3"/>
        </w:numPr>
        <w:spacing w:after="100"/>
      </w:pPr>
      <w:r>
        <w:t xml:space="preserve">Binding arbitration under the [applicable provincial arbitration statute].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Deadlock clauses are the safety valve for a 50/50 or otherwise evenly split company. The shotgun clause is powerful and fast but favours the shareholder with more cash, choose the mechanism that fits your relationship and resources.</w:t>
            </w:r>
          </w:p>
        </w:tc>
      </w:tr>
    </w:tbl>
    <w:p>
      <w:pPr>
        <w:pStyle w:val="Heading1"/>
      </w:pPr>
      <w:r>
        <w:t xml:space="preserve">10.  Confidentiality and Intellectual Property</w:t>
      </w:r>
    </w:p>
    <w:p>
      <w:pPr>
        <w:pStyle w:val="ListParagraph"/>
        <w:numPr>
          <w:ilvl w:val="0"/>
          <w:numId w:val="3"/>
        </w:numPr>
        <w:spacing w:after="120"/>
      </w:pPr>
      <w:r>
        <w:t xml:space="preserve">Each Shareholder will keep the Corporation’s confidential information confidential, during and after their involvement.</w:t>
      </w:r>
    </w:p>
    <w:p>
      <w:pPr>
        <w:pStyle w:val="ListParagraph"/>
        <w:numPr>
          <w:ilvl w:val="0"/>
          <w:numId w:val="3"/>
        </w:numPr>
        <w:spacing w:after="120"/>
      </w:pPr>
      <w:r>
        <w:t xml:space="preserve">All intellectual property created for the Corporation belongs to the Corporation.</w:t>
      </w:r>
    </w:p>
    <w:p>
      <w:pPr>
        <w:pStyle w:val="Heading1"/>
      </w:pPr>
      <w:r>
        <w:t xml:space="preserve">11.  Non-Competition and Non-Solicitation</w:t>
      </w:r>
    </w:p>
    <w:p>
      <w:pPr>
        <w:pStyle w:val="ListParagraph"/>
        <w:numPr>
          <w:ilvl w:val="0"/>
          <w:numId w:val="3"/>
        </w:numPr>
        <w:spacing w:after="120"/>
      </w:pPr>
      <w:r>
        <w:t xml:space="preserve">During involvement and for [NUMBER] months afterward, a departing Shareholder will not, within [GEOGRAPHIC AREA], carry on or be engaged in a business that competes with the Corporation, nor solicit its clients or employees.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087C9" w:sz="4"/>
              <w:left w:val="single" w:color="2087C9" w:sz="24"/>
              <w:bottom w:val="single" w:color="2087C9" w:sz="4"/>
              <w:right w:val="single" w:color="2087C9" w:sz="4"/>
            </w:tcBorders>
            <w:shd w:fill="F0F7FD" w:val="clear"/>
            <w:tcMar>
              <w:top w:type="dxa" w:w="100"/>
              <w:left w:type="dxa" w:w="160"/>
              <w:bottom w:type="dxa" w:w="100"/>
              <w:right w:type="dxa" w:w="160"/>
            </w:tcMar>
          </w:tcPr>
          <w:p>
            <w:pPr>
              <w:spacing w:after="0"/>
            </w:pPr>
            <w:r>
              <w:rPr>
                <w:b/>
                <w:bCs/>
                <w:color w:val="1A2340"/>
                <w:sz w:val="19"/>
                <w:szCs w:val="19"/>
              </w:rPr>
              <w:t xml:space="preserve">Plain-language note:  </w:t>
            </w:r>
            <w:r>
              <w:rPr>
                <w:color w:val="1A2340"/>
                <w:sz w:val="19"/>
                <w:szCs w:val="19"/>
              </w:rPr>
              <w:t xml:space="preserve">Restrictive covenants must be reasonable in time, geography and scope to be enforceable, and the standards differ across provinces. This clause especially needs a lawyer’s review for your jurisdiction.</w:t>
            </w:r>
          </w:p>
        </w:tc>
      </w:tr>
    </w:tbl>
    <w:p>
      <w:pPr>
        <w:pStyle w:val="Heading1"/>
      </w:pPr>
      <w:r>
        <w:t xml:space="preserve">12.  General Provisions</w:t>
      </w:r>
    </w:p>
    <w:p>
      <w:pPr>
        <w:pStyle w:val="ListParagraph"/>
        <w:numPr>
          <w:ilvl w:val="0"/>
          <w:numId w:val="3"/>
        </w:numPr>
        <w:spacing w:after="120"/>
      </w:pPr>
      <w:r>
        <w:t xml:space="preserve">Governing law. This Agreement is governed by the laws of [PROVINCE] and the laws of Canada applicable there.</w:t>
      </w:r>
    </w:p>
    <w:p>
      <w:pPr>
        <w:pStyle w:val="ListParagraph"/>
        <w:numPr>
          <w:ilvl w:val="0"/>
          <w:numId w:val="3"/>
        </w:numPr>
        <w:spacing w:after="120"/>
      </w:pPr>
      <w:r>
        <w:t xml:space="preserve">Dispute resolution. Except where this Agreement provides otherwise, disputes are resolved by [mediation then arbitration / the courts of PROVINCE].</w:t>
      </w:r>
    </w:p>
    <w:p>
      <w:pPr>
        <w:pStyle w:val="ListParagraph"/>
        <w:numPr>
          <w:ilvl w:val="0"/>
          <w:numId w:val="3"/>
        </w:numPr>
        <w:spacing w:after="120"/>
      </w:pPr>
      <w:r>
        <w:t xml:space="preserve">Entire agreement. This Agreement, with its Schedules, is the entire agreement among the parties and supersedes prior understandings.</w:t>
      </w:r>
    </w:p>
    <w:p>
      <w:pPr>
        <w:pStyle w:val="ListParagraph"/>
        <w:numPr>
          <w:ilvl w:val="0"/>
          <w:numId w:val="3"/>
        </w:numPr>
        <w:spacing w:after="120"/>
      </w:pPr>
      <w:r>
        <w:t xml:space="preserve">Amendment. This Agreement may be amended only in writing signed by all parties.</w:t>
      </w:r>
    </w:p>
    <w:p>
      <w:pPr>
        <w:pStyle w:val="ListParagraph"/>
        <w:numPr>
          <w:ilvl w:val="0"/>
          <w:numId w:val="3"/>
        </w:numPr>
        <w:spacing w:after="120"/>
      </w:pPr>
      <w:r>
        <w:t xml:space="preserve">Notices. Notices are given in writing to the addresses in Schedule “A” (or as updated in writing).</w:t>
      </w:r>
    </w:p>
    <w:p>
      <w:pPr>
        <w:pStyle w:val="ListParagraph"/>
        <w:numPr>
          <w:ilvl w:val="0"/>
          <w:numId w:val="3"/>
        </w:numPr>
        <w:spacing w:after="120"/>
      </w:pPr>
      <w:r>
        <w:t xml:space="preserve">Severability. If any provision is unenforceable, the rest remain in effect.</w:t>
      </w:r>
    </w:p>
    <w:p>
      <w:pPr>
        <w:pStyle w:val="ListParagraph"/>
        <w:numPr>
          <w:ilvl w:val="0"/>
          <w:numId w:val="3"/>
        </w:numPr>
        <w:spacing w:after="120"/>
      </w:pPr>
      <w:r>
        <w:t xml:space="preserve">Counterparts. This Agreement may be signed in counterparts, including electronically.</w:t>
      </w:r>
    </w:p>
    <w:p>
      <w:pPr>
        <w:pStyle w:val="Heading1"/>
      </w:pPr>
      <w:r>
        <w:t xml:space="preserve">Signatures</w:t>
      </w:r>
    </w:p>
    <w:p>
      <w:pPr>
        <w:spacing w:after="120"/>
      </w:pPr>
      <w:r>
        <w:rPr>
          <w:i/>
          <w:iCs/>
          <w:color w:val="4A5568"/>
        </w:rPr>
        <w:t xml:space="preserve">IN WITNESS WHEREOF the parties have executed this Agreement as of the date first written above.</w:t>
      </w:r>
    </w:p>
    <w:p>
      <w:pPr>
        <w:spacing w:after="220"/>
      </w:pPr>
      <w:r>
        <w:t xml:space="preserve"/>
      </w:r>
    </w:p>
    <w:p>
      <w:pPr>
        <w:spacing w:after="60"/>
      </w:pPr>
      <w:r>
        <w:rPr>
          <w:color w:val="4A5568"/>
        </w:rPr>
        <w:t xml:space="preserve">______________________________________________</w:t>
      </w:r>
      <w:r>
        <w:rPr>
          <w:color w:val="4A5568"/>
        </w:rPr>
        <w:t xml:space="preserve">    Shareholder 1 (signature)</w:t>
      </w:r>
    </w:p>
    <w:p>
      <w:pPr>
        <w:spacing w:after="200"/>
      </w:pPr>
      <w:r>
        <w:rPr>
          <w:color w:val="4A5568"/>
        </w:rPr>
        <w:t xml:space="preserve">Name (print): ____________________________     Date: ______________</w:t>
      </w:r>
    </w:p>
    <w:p>
      <w:pPr>
        <w:spacing w:after="60"/>
      </w:pPr>
      <w:r>
        <w:rPr>
          <w:color w:val="4A5568"/>
        </w:rPr>
        <w:t xml:space="preserve">______________________________________________</w:t>
      </w:r>
      <w:r>
        <w:rPr>
          <w:color w:val="4A5568"/>
        </w:rPr>
        <w:t xml:space="preserve">    Shareholder 2 (signature)</w:t>
      </w:r>
    </w:p>
    <w:p>
      <w:pPr>
        <w:spacing w:after="200"/>
      </w:pPr>
      <w:r>
        <w:rPr>
          <w:color w:val="4A5568"/>
        </w:rPr>
        <w:t xml:space="preserve">Name (print): ____________________________     Date: ______________</w:t>
      </w:r>
    </w:p>
    <w:p>
      <w:pPr>
        <w:spacing w:after="60"/>
      </w:pPr>
      <w:r>
        <w:rPr>
          <w:color w:val="4A5568"/>
        </w:rPr>
        <w:t xml:space="preserve">______________________________________________</w:t>
      </w:r>
      <w:r>
        <w:rPr>
          <w:color w:val="4A5568"/>
        </w:rPr>
        <w:t xml:space="preserve">    Shareholder 3 (signature)</w:t>
      </w:r>
    </w:p>
    <w:p>
      <w:pPr>
        <w:spacing w:after="200"/>
      </w:pPr>
      <w:r>
        <w:rPr>
          <w:color w:val="4A5568"/>
        </w:rPr>
        <w:t xml:space="preserve">Name (print): ____________________________     Date: ______________</w:t>
      </w:r>
    </w:p>
    <w:p>
      <w:pPr>
        <w:spacing w:after="120"/>
      </w:pPr>
      <w:r>
        <w:t xml:space="preserve"/>
      </w:r>
    </w:p>
    <w:p>
      <w:pPr>
        <w:spacing w:after="120"/>
      </w:pPr>
      <w:r>
        <w:rPr>
          <w:b/>
          <w:bCs/>
        </w:rPr>
        <w:t xml:space="preserve">THE CORPORATION:</w:t>
      </w:r>
    </w:p>
    <w:p>
      <w:pPr>
        <w:spacing w:after="120"/>
      </w:pPr>
      <w:r>
        <w:t xml:space="preserve">[CORPORATION LEGAL NAME]</w:t>
      </w:r>
    </w:p>
    <w:p>
      <w:pPr>
        <w:spacing w:after="160"/>
      </w:pPr>
      <w:r>
        <w:t xml:space="preserve"/>
      </w:r>
    </w:p>
    <w:p>
      <w:pPr>
        <w:spacing w:after="60"/>
      </w:pPr>
      <w:r>
        <w:rPr>
          <w:color w:val="4A5568"/>
        </w:rPr>
        <w:t xml:space="preserve">______________________________________________</w:t>
      </w:r>
      <w:r>
        <w:rPr>
          <w:color w:val="4A5568"/>
        </w:rPr>
        <w:t xml:space="preserve">    Per (authorized signing officer)</w:t>
      </w:r>
    </w:p>
    <w:p>
      <w:r>
        <w:br w:type="page"/>
      </w:r>
    </w:p>
    <w:p>
      <w:pPr>
        <w:pStyle w:val="Heading1"/>
      </w:pPr>
      <w:r>
        <w:t xml:space="preserve">Schedule “A” – Shareholders and Shareholdings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D1D5DB" w:sz="4"/>
              <w:left w:val="single" w:color="D1D5DB" w:sz="4"/>
              <w:bottom w:val="single" w:color="D1D5DB" w:sz="4"/>
              <w:right w:val="single" w:color="D1D5DB" w:sz="4"/>
            </w:tcBorders>
            <w:shd w:fill="1A2340" w:val="clear"/>
            <w:tcMar>
              <w:top w:type="dxa" w:w="80"/>
              <w:left w:type="dxa" w:w="120"/>
              <w:bottom w:type="dxa" w:w="80"/>
              <w:right w:type="dxa" w:w="120"/>
            </w:tcMar>
          </w:tcPr>
          <w:p>
            <w:r>
              <w:rPr>
                <w:b/>
                <w:bCs/>
                <w:color w:val="FFFFFF"/>
                <w:sz w:val="19"/>
                <w:szCs w:val="19"/>
              </w:rPr>
              <w:t xml:space="preserve">Shareholder</w:t>
            </w:r>
          </w:p>
        </w:tc>
        <w:tc>
          <w:tcPr>
            <w:tcW w:type="dxa" w:w="2340"/>
            <w:tcBorders>
              <w:top w:val="single" w:color="D1D5DB" w:sz="4"/>
              <w:left w:val="single" w:color="D1D5DB" w:sz="4"/>
              <w:bottom w:val="single" w:color="D1D5DB" w:sz="4"/>
              <w:right w:val="single" w:color="D1D5DB" w:sz="4"/>
            </w:tcBorders>
            <w:shd w:fill="1A2340" w:val="clear"/>
            <w:tcMar>
              <w:top w:type="dxa" w:w="80"/>
              <w:left w:type="dxa" w:w="120"/>
              <w:bottom w:type="dxa" w:w="80"/>
              <w:right w:type="dxa" w:w="120"/>
            </w:tcMar>
          </w:tcPr>
          <w:p>
            <w:r>
              <w:rPr>
                <w:b/>
                <w:bCs/>
                <w:color w:val="FFFFFF"/>
                <w:sz w:val="19"/>
                <w:szCs w:val="19"/>
              </w:rPr>
              <w:t xml:space="preserve">Share Class</w:t>
            </w:r>
          </w:p>
        </w:tc>
        <w:tc>
          <w:tcPr>
            <w:tcW w:type="dxa" w:w="2340"/>
            <w:tcBorders>
              <w:top w:val="single" w:color="D1D5DB" w:sz="4"/>
              <w:left w:val="single" w:color="D1D5DB" w:sz="4"/>
              <w:bottom w:val="single" w:color="D1D5DB" w:sz="4"/>
              <w:right w:val="single" w:color="D1D5DB" w:sz="4"/>
            </w:tcBorders>
            <w:shd w:fill="1A2340" w:val="clear"/>
            <w:tcMar>
              <w:top w:type="dxa" w:w="80"/>
              <w:left w:type="dxa" w:w="120"/>
              <w:bottom w:type="dxa" w:w="80"/>
              <w:right w:type="dxa" w:w="120"/>
            </w:tcMar>
          </w:tcPr>
          <w:p>
            <w:r>
              <w:rPr>
                <w:b/>
                <w:bCs/>
                <w:color w:val="FFFFFF"/>
                <w:sz w:val="19"/>
                <w:szCs w:val="19"/>
              </w:rPr>
              <w:t xml:space="preserve">Number of Shares</w:t>
            </w:r>
          </w:p>
        </w:tc>
        <w:tc>
          <w:tcPr>
            <w:tcW w:type="dxa" w:w="2340"/>
            <w:tcBorders>
              <w:top w:val="single" w:color="D1D5DB" w:sz="4"/>
              <w:left w:val="single" w:color="D1D5DB" w:sz="4"/>
              <w:bottom w:val="single" w:color="D1D5DB" w:sz="4"/>
              <w:right w:val="single" w:color="D1D5DB" w:sz="4"/>
            </w:tcBorders>
            <w:shd w:fill="1A2340" w:val="clear"/>
            <w:tcMar>
              <w:top w:type="dxa" w:w="80"/>
              <w:left w:type="dxa" w:w="120"/>
              <w:bottom w:type="dxa" w:w="80"/>
              <w:right w:type="dxa" w:w="120"/>
            </w:tcMar>
          </w:tcPr>
          <w:p>
            <w:r>
              <w:rPr>
                <w:b/>
                <w:bCs/>
                <w:color w:val="FFFFFF"/>
                <w:sz w:val="19"/>
                <w:szCs w:val="19"/>
              </w:rPr>
              <w:t xml:space="preserve">% of Class</w:t>
            </w:r>
          </w:p>
        </w:tc>
      </w:tr>
      <w:tr>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r>
      <w:tr>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r>
      <w:tr>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r>
      <w:tr>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c>
          <w:tcPr>
            <w:tcW w:type="dxa" w:w="2340"/>
            <w:tcBorders>
              <w:top w:val="single" w:color="D1D5DB" w:sz="4"/>
              <w:left w:val="single" w:color="D1D5DB" w:sz="4"/>
              <w:bottom w:val="single" w:color="D1D5DB" w:sz="4"/>
              <w:right w:val="single" w:color="D1D5DB" w:sz="4"/>
            </w:tcBorders>
            <w:tcMar>
              <w:top w:type="dxa" w:w="80"/>
              <w:left w:type="dxa" w:w="120"/>
              <w:bottom w:type="dxa" w:w="80"/>
              <w:right w:type="dxa" w:w="120"/>
            </w:tcMar>
          </w:tcPr>
          <w:p>
            <w:r>
              <w:rPr>
                <w:sz w:val="19"/>
                <w:szCs w:val="19"/>
              </w:rPr>
              <w:t xml:space="preserve"> </w:t>
            </w:r>
          </w:p>
        </w:tc>
      </w:tr>
    </w:tbl>
    <w:p>
      <w:pPr>
        <w:spacing w:after="160"/>
      </w:pPr>
      <w:r>
        <w:t xml:space="preserve"/>
      </w:r>
    </w:p>
    <w:p>
      <w:pPr>
        <w:spacing w:after="120"/>
      </w:pPr>
      <w:r>
        <w:rPr>
          <w:b/>
          <w:bCs/>
        </w:rPr>
        <w:t xml:space="preserve">Addresses for notice:</w:t>
      </w:r>
    </w:p>
    <w:p>
      <w:pPr>
        <w:spacing w:after="80"/>
      </w:pPr>
      <w:r>
        <w:rPr>
          <w:b/>
          <w:bCs/>
          <w:color w:val="1A2340"/>
        </w:rPr>
        <w:t xml:space="preserve">Shareholder 1 address:  </w:t>
      </w:r>
      <w:r>
        <w:rPr>
          <w:color w:val="4A5568"/>
        </w:rPr>
        <w:t xml:space="preserve">______________________________________________</w:t>
      </w:r>
    </w:p>
    <w:p>
      <w:pPr>
        <w:spacing w:after="80"/>
      </w:pPr>
      <w:r>
        <w:rPr>
          <w:b/>
          <w:bCs/>
          <w:color w:val="1A2340"/>
        </w:rPr>
        <w:t xml:space="preserve">Shareholder 2 address:  </w:t>
      </w:r>
      <w:r>
        <w:rPr>
          <w:color w:val="4A5568"/>
        </w:rPr>
        <w:t xml:space="preserve">______________________________________________</w:t>
      </w:r>
    </w:p>
    <w:p>
      <w:pPr>
        <w:spacing w:after="80"/>
      </w:pPr>
      <w:r>
        <w:rPr>
          <w:b/>
          <w:bCs/>
          <w:color w:val="1A2340"/>
        </w:rPr>
        <w:t xml:space="preserve">Shareholder 3 address:  </w:t>
      </w:r>
      <w:r>
        <w:rPr>
          <w:color w:val="4A5568"/>
        </w:rPr>
        <w:t xml:space="preserve">______________________________________________</w:t>
      </w:r>
    </w:p>
    <w:p>
      <w:pPr>
        <w:spacing w:after="200"/>
      </w:pPr>
      <w:r>
        <w:t xml:space="preserve"/>
      </w:r>
    </w:p>
    <w:p>
      <w:pPr>
        <w:pStyle w:val="Heading1"/>
      </w:pPr>
      <w:r>
        <w:t xml:space="preserve">Schedule “B” – Agreed Value / Valuation Method</w:t>
      </w:r>
    </w:p>
    <w:p>
      <w:pPr>
        <w:spacing w:after="120"/>
      </w:pPr>
      <w:r>
        <w:t xml:space="preserve">Agreed value per [class] share: $______________ as of ____________, 20____.</w:t>
      </w:r>
    </w:p>
    <w:p>
      <w:pPr>
        <w:spacing w:after="80"/>
      </w:pPr>
      <w:r>
        <w:t xml:space="preserve"/>
      </w:r>
    </w:p>
    <w:p>
      <w:pPr>
        <w:spacing w:after="120"/>
      </w:pPr>
      <w:r>
        <w:t xml:space="preserve">Valuation method selected (check one):</w:t>
      </w:r>
    </w:p>
    <w:p>
      <w:pPr>
        <w:pStyle w:val="ListParagraph"/>
        <w:numPr>
          <w:ilvl w:val="0"/>
          <w:numId w:val="2"/>
        </w:numPr>
        <w:spacing w:after="60"/>
      </w:pPr>
      <w:r>
        <w:t xml:space="preserve">[  ] Annual agreed value (above)</w:t>
      </w:r>
    </w:p>
    <w:p>
      <w:pPr>
        <w:pStyle w:val="ListParagraph"/>
        <w:numPr>
          <w:ilvl w:val="0"/>
          <w:numId w:val="2"/>
        </w:numPr>
        <w:spacing w:after="60"/>
      </w:pPr>
      <w:r>
        <w:t xml:space="preserve">[  ] Independent valuation by a Chartered Business Valuator</w:t>
      </w:r>
    </w:p>
    <w:p>
      <w:pPr>
        <w:pStyle w:val="ListParagraph"/>
        <w:numPr>
          <w:ilvl w:val="0"/>
          <w:numId w:val="2"/>
        </w:numPr>
        <w:spacing w:after="60"/>
      </w:pPr>
      <w:r>
        <w:t xml:space="preserve">[  ] Formula: ______________________________________________</w:t>
      </w:r>
    </w:p>
    <w:p>
      <w:r>
        <w:br w:type="page"/>
      </w:r>
    </w:p>
    <w:p>
      <w:pPr>
        <w:pStyle w:val="Heading1"/>
      </w:pPr>
      <w:r>
        <w:t xml:space="preserve">Before You Sign: Talk to Us</w:t>
      </w:r>
    </w:p>
    <w:p>
      <w:pPr>
        <w:spacing w:after="120"/>
      </w:pPr>
      <w:r>
        <w:t xml:space="preserve">A shareholder agreement only works if the share structure, valuation method and buy-sell terms are right for your business, and if the tax consequences are understood before you commit. That is the part we handle.</w:t>
      </w:r>
    </w:p>
    <w:p>
      <w:pPr>
        <w:spacing w:after="120"/>
      </w:pPr>
      <w:r>
        <w:rPr>
          <w:color w:val="4A5568"/>
        </w:rPr>
        <w:t xml:space="preserve">Gondaliya CPA is a licensed Ontario CPA firm working with incorporated businesses across Canada on fixed flat fees. We review the tax and valuation side of your shareholder agreement, set up or correct the share structure behind it, and coordinate with your lawyer so the document and the tax plan line up.</w:t>
      </w:r>
    </w:p>
    <w:p>
      <w:pPr>
        <w:spacing w:after="140"/>
      </w:pPr>
      <w:r>
        <w:t xml:space="preserve"/>
      </w:r>
    </w:p>
    <w:p>
      <w:pPr>
        <w:spacing w:after="60"/>
      </w:pPr>
      <w:r>
        <w:rPr>
          <w:b/>
          <w:bCs/>
          <w:color w:val="1A2340"/>
        </w:rPr>
        <w:t xml:space="preserve">Book a free consultation:  </w:t>
      </w:r>
      <w:r>
        <w:rPr>
          <w:color w:val="2087C9"/>
        </w:rPr>
        <w:t xml:space="preserve">gondaliyacpa.ca/consultation</w:t>
      </w:r>
    </w:p>
    <w:p>
      <w:pPr>
        <w:spacing w:after="60"/>
      </w:pPr>
      <w:r>
        <w:rPr>
          <w:b/>
          <w:bCs/>
          <w:color w:val="1A2340"/>
        </w:rPr>
        <w:t xml:space="preserve">Know your exact fee in 2 minutes:  </w:t>
      </w:r>
      <w:r>
        <w:rPr>
          <w:color w:val="2087C9"/>
        </w:rPr>
        <w:t xml:space="preserve">gondaliyacpa.ca/pricing-calculation</w:t>
      </w:r>
    </w:p>
    <w:p>
      <w:pPr>
        <w:spacing w:after="200"/>
      </w:pPr>
      <w:r>
        <w:rPr>
          <w:b/>
          <w:bCs/>
          <w:color w:val="1A2340"/>
        </w:rPr>
        <w:t xml:space="preserve">Call:  </w:t>
      </w:r>
      <w:r>
        <w:rPr>
          <w:color w:val="4A5568"/>
        </w:rPr>
        <w:t xml:space="preserve">647-212-9559   |   1300+ ★★★★★ Google reviews   |   Most AFFORDABLE CPA for business clients in Canada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1D5DB" w:sz="4"/>
              <w:left w:val="single" w:color="D1D5DB" w:sz="4"/>
              <w:bottom w:val="single" w:color="D1D5DB" w:sz="4"/>
              <w:right w:val="single" w:color="D1D5DB" w:sz="4"/>
            </w:tcBorders>
            <w:shd w:fill="F7F9FC" w:val="clear"/>
            <w:tcMar>
              <w:top w:type="dxa" w:w="120"/>
              <w:left w:type="dxa" w:w="160"/>
              <w:bottom w:type="dxa" w:w="120"/>
              <w:right w:type="dxa" w:w="160"/>
            </w:tcMar>
          </w:tcPr>
          <w:p>
            <w:pPr>
              <w:spacing w:after="0"/>
            </w:pPr>
            <w:r>
              <w:rPr>
                <w:b/>
                <w:bCs/>
                <w:color w:val="4A5568"/>
                <w:sz w:val="17"/>
                <w:szCs w:val="17"/>
              </w:rPr>
              <w:t xml:space="preserve">Disclaimer:  </w:t>
            </w:r>
            <w:r>
              <w:rPr>
                <w:color w:val="4A5568"/>
                <w:sz w:val="17"/>
                <w:szCs w:val="17"/>
              </w:rPr>
              <w:t xml:space="preserve">This template is provided for general educational purposes only and is not legal, tax or accounting advice. It is not a substitute for advice from a qualified lawyer or accountant about your specific situation. No solicitor-client or other professional relationship is created by using it. Gondaliya CPA Professional Corporation accepts no liability arising from its use. © 2026 Gondaliya CPA Professional Corporation.</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1D5DB" w:sz="6" w:space="4"/>
      </w:pBdr>
      <w:tabs>
        <w:tab w:val="right" w:pos="9360"/>
      </w:tabs>
      <w:spacing w:before="0"/>
    </w:pPr>
    <w:r>
      <w:rPr>
        <w:color w:val="4A5568"/>
        <w:sz w:val="15"/>
        <w:szCs w:val="15"/>
      </w:rPr>
      <w:t xml:space="preserve">Gondaliya CPA Professional Corporation  |  gondaliyacpa.ca  |  647-212-9559</w:t>
    </w:r>
    <w:r>
      <w:rPr>
        <w:color w:val="4A5568"/>
        <w:sz w:val="15"/>
        <w:szCs w:val="15"/>
      </w:rPr>
      <w:t xml:space="preserve">	Page </w:t>
    </w:r>
    <w:r>
      <w:rPr>
        <w:color w:val="4A556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087C9" w:sz="6" w:space="4"/>
      </w:pBdr>
      <w:spacing w:after="0"/>
    </w:pPr>
    <w:r>
      <w:rPr>
        <w:b/>
        <w:bCs/>
        <w:color w:val="1A2340"/>
        <w:sz w:val="18"/>
        <w:szCs w:val="18"/>
      </w:rPr>
      <w:t xml:space="preserve">GONDALIYA CPA</w:t>
    </w:r>
    <w:r>
      <w:rPr>
        <w:color w:val="4A5568"/>
        <w:sz w:val="16"/>
        <w:szCs w:val="16"/>
      </w:rPr>
      <w:t xml:space="preserve">   |   Shareholder Agreement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60"/>
      </w:pPr>
    </w:lvl>
    <w:lvl w:ilvl="1" w15:tentative="1">
      <w:start w:val="1"/>
      <w:numFmt w:val="lowerLetter"/>
      <w:lvlText w:val="(%2)"/>
      <w:lvlJc w:val="left"/>
      <w:pPr>
        <w:ind w:left="1200" w:hanging="360"/>
      </w:pPr>
    </w:lvl>
  </w:abstractNum>
  <w:abstractNum w:abstractNumId="3" w15:restartNumberingAfterBreak="0">
    <w:multiLevelType w:val="hybridMultilevel"/>
    <w:lvl w:ilvl="0" w15:tentative="1">
      <w:start w:val="1"/>
      <w:numFmt w:val="bullet"/>
      <w:lvlText w:val="•"/>
      <w:lvlJc w:val="left"/>
      <w:pPr>
        <w:ind w:left="60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374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00"/>
      <w:outlineLvl w:val="0"/>
    </w:pPr>
    <w:rPr>
      <w:rFonts w:ascii="Arial" w:cs="Arial" w:eastAsia="Arial" w:hAnsi="Arial"/>
      <w:b/>
      <w:bCs/>
      <w:color w:val="1A2340"/>
      <w:sz w:val="28"/>
      <w:szCs w:val="28"/>
    </w:rPr>
  </w:style>
  <w:style w:type="paragraph" w:styleId="Heading2">
    <w:name w:val="Heading 2"/>
    <w:basedOn w:val="Normal"/>
    <w:next w:val="Normal"/>
    <w:qFormat/>
    <w:pPr>
      <w:spacing w:after="120" w:before="200"/>
      <w:outlineLvl w:val="1"/>
    </w:pPr>
    <w:rPr>
      <w:rFonts w:ascii="Arial" w:cs="Arial" w:eastAsia="Arial" w:hAnsi="Arial"/>
      <w:b/>
      <w:bCs/>
      <w:color w:val="1A234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 Agreement Template (Canada)</dc:title>
  <dc:creator>Gondaliya CPA Professional Corporation</dc:creator>
  <dc:description>Free shareholder agreement template for Canadian small business corporations.</dc:description>
  <cp:lastModifiedBy>Un-named</cp:lastModifiedBy>
  <cp:revision>1</cp:revision>
  <dcterms:created xsi:type="dcterms:W3CDTF">2026-06-25T15:19:27.370Z</dcterms:created>
  <dcterms:modified xsi:type="dcterms:W3CDTF">2026-06-25T15:19:27.371Z</dcterms:modified>
</cp:coreProperties>
</file>

<file path=docProps/custom.xml><?xml version="1.0" encoding="utf-8"?>
<Properties xmlns="http://schemas.openxmlformats.org/officeDocument/2006/custom-properties" xmlns:vt="http://schemas.openxmlformats.org/officeDocument/2006/docPropsVTypes"/>
</file>